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BDF2" w14:textId="77777777" w:rsidR="009E15DC" w:rsidRPr="009E15DC" w:rsidRDefault="009E15DC" w:rsidP="009E15D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9E15DC">
        <w:rPr>
          <w:rFonts w:ascii="ArialMT" w:cs="ArialMT"/>
          <w:sz w:val="24"/>
          <w:szCs w:val="24"/>
        </w:rPr>
        <w:t>FITREF - FACULDADE INTERNACIONAL DE TEOLOGIA REFORMADA IRTC</w:t>
      </w:r>
    </w:p>
    <w:p w14:paraId="7BD9C58C" w14:textId="77777777" w:rsidR="009E15DC" w:rsidRPr="009E15DC" w:rsidRDefault="009E15DC" w:rsidP="009E15D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9E15DC">
        <w:rPr>
          <w:rFonts w:ascii="ArialMT" w:cs="ArialMT"/>
          <w:sz w:val="24"/>
          <w:szCs w:val="24"/>
        </w:rPr>
        <w:t>Professor: Jorge Barros</w:t>
      </w:r>
    </w:p>
    <w:p w14:paraId="6C7C9859" w14:textId="77777777" w:rsidR="009E15DC" w:rsidRPr="009E15DC" w:rsidRDefault="009E15DC" w:rsidP="009E15D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9E15DC">
        <w:rPr>
          <w:rFonts w:ascii="ArialMT" w:cs="ArialMT"/>
          <w:sz w:val="24"/>
          <w:szCs w:val="24"/>
        </w:rPr>
        <w:t xml:space="preserve">Disciplina: BI 705 </w:t>
      </w:r>
      <w:r w:rsidRPr="009E15DC">
        <w:rPr>
          <w:rFonts w:ascii="ArialMT" w:cs="ArialMT" w:hint="cs"/>
          <w:sz w:val="24"/>
          <w:szCs w:val="24"/>
        </w:rPr>
        <w:t>–</w:t>
      </w:r>
      <w:r w:rsidRPr="009E15DC">
        <w:rPr>
          <w:rFonts w:ascii="ArialMT" w:cs="ArialMT"/>
          <w:sz w:val="24"/>
          <w:szCs w:val="24"/>
        </w:rPr>
        <w:t xml:space="preserve"> Apocalipse e Escatologia B</w:t>
      </w:r>
      <w:r w:rsidRPr="009E15DC">
        <w:rPr>
          <w:rFonts w:ascii="ArialMT" w:cs="ArialMT" w:hint="cs"/>
          <w:sz w:val="24"/>
          <w:szCs w:val="24"/>
        </w:rPr>
        <w:t>í</w:t>
      </w:r>
      <w:r w:rsidRPr="009E15DC">
        <w:rPr>
          <w:rFonts w:ascii="ArialMT" w:cs="ArialMT"/>
          <w:sz w:val="24"/>
          <w:szCs w:val="24"/>
        </w:rPr>
        <w:t>blica</w:t>
      </w:r>
    </w:p>
    <w:p w14:paraId="3CD28623" w14:textId="77777777" w:rsidR="009E15DC" w:rsidRPr="00993981" w:rsidRDefault="009E15DC" w:rsidP="009E15D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02ED7E5B" w14:textId="1510EE12" w:rsidR="009E15DC" w:rsidRPr="009E15DC" w:rsidRDefault="009E15DC" w:rsidP="009E15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5DC">
        <w:rPr>
          <w:rFonts w:cstheme="minorHAnsi"/>
          <w:b/>
          <w:sz w:val="24"/>
          <w:szCs w:val="24"/>
        </w:rPr>
        <w:t>ATIVIDADE 8</w:t>
      </w:r>
    </w:p>
    <w:p w14:paraId="754ABC49" w14:textId="3020E832" w:rsidR="009E15DC" w:rsidRPr="009E15DC" w:rsidRDefault="009E15DC" w:rsidP="009E15D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9E15DC">
        <w:rPr>
          <w:rFonts w:cstheme="minorHAnsi"/>
          <w:i/>
          <w:sz w:val="24"/>
          <w:szCs w:val="24"/>
        </w:rPr>
        <w:t xml:space="preserve">Como explicar ou conciliar a promessa messiânica no Antigo Testamento que </w:t>
      </w:r>
      <w:r w:rsidRPr="009E15DC">
        <w:rPr>
          <w:rFonts w:cstheme="minorHAnsi"/>
          <w:i/>
          <w:color w:val="000000"/>
          <w:sz w:val="24"/>
          <w:szCs w:val="24"/>
        </w:rPr>
        <w:t xml:space="preserve">parece indicar </w:t>
      </w:r>
      <w:r w:rsidRPr="005E23D3">
        <w:rPr>
          <w:rFonts w:cstheme="minorHAnsi"/>
          <w:i/>
          <w:color w:val="000000"/>
          <w:sz w:val="24"/>
          <w:szCs w:val="24"/>
        </w:rPr>
        <w:t>uma única vinda do Messias</w:t>
      </w:r>
      <w:r w:rsidRPr="009E15DC">
        <w:rPr>
          <w:rFonts w:cstheme="minorHAnsi"/>
          <w:i/>
          <w:color w:val="000000"/>
          <w:sz w:val="24"/>
          <w:szCs w:val="24"/>
        </w:rPr>
        <w:t xml:space="preserve"> e, consequentemente, a imediata implementação do reino de Deus na terra, com a mensagem do Novo Testamento de uma </w:t>
      </w:r>
      <w:r w:rsidRPr="005E23D3">
        <w:rPr>
          <w:rFonts w:cstheme="minorHAnsi"/>
          <w:i/>
          <w:color w:val="000000"/>
          <w:sz w:val="24"/>
          <w:szCs w:val="24"/>
        </w:rPr>
        <w:t>segunda vinda do Messias,</w:t>
      </w:r>
      <w:r w:rsidRPr="009E15DC">
        <w:rPr>
          <w:rFonts w:cstheme="minorHAnsi"/>
          <w:i/>
          <w:color w:val="000000"/>
          <w:sz w:val="24"/>
          <w:szCs w:val="24"/>
        </w:rPr>
        <w:t xml:space="preserve"> e, então, o pleno estabelecimento do reino de Deus?</w:t>
      </w:r>
    </w:p>
    <w:p w14:paraId="797893C9" w14:textId="21CA8D1E" w:rsidR="009E15DC" w:rsidRPr="00993981" w:rsidRDefault="009E15DC" w:rsidP="009E1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6F5C34C3" w14:textId="79792176" w:rsidR="004331DD" w:rsidRDefault="004331DD" w:rsidP="0096048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As </w:t>
      </w:r>
      <w:r w:rsidR="00B330F7">
        <w:rPr>
          <w:rFonts w:cstheme="minorHAnsi"/>
          <w:color w:val="000000"/>
          <w:sz w:val="24"/>
          <w:szCs w:val="24"/>
        </w:rPr>
        <w:t xml:space="preserve">promessas ou </w:t>
      </w:r>
      <w:r>
        <w:rPr>
          <w:rFonts w:cstheme="minorHAnsi"/>
          <w:color w:val="000000"/>
          <w:sz w:val="24"/>
          <w:szCs w:val="24"/>
        </w:rPr>
        <w:t xml:space="preserve">profecias messiânicas do AT são as proclamações sobre o aparecimento futuro de um Messias. </w:t>
      </w:r>
      <w:r w:rsidR="00636A89">
        <w:rPr>
          <w:rFonts w:cstheme="minorHAnsi"/>
          <w:color w:val="000000"/>
          <w:sz w:val="24"/>
          <w:szCs w:val="24"/>
        </w:rPr>
        <w:t xml:space="preserve">A primeira vez </w:t>
      </w:r>
      <w:r w:rsidR="004C5169">
        <w:rPr>
          <w:rFonts w:cstheme="minorHAnsi"/>
          <w:color w:val="000000"/>
          <w:sz w:val="24"/>
          <w:szCs w:val="24"/>
        </w:rPr>
        <w:t xml:space="preserve">que isto </w:t>
      </w:r>
      <w:r w:rsidR="00636A89">
        <w:rPr>
          <w:rFonts w:cstheme="minorHAnsi"/>
          <w:color w:val="000000"/>
          <w:sz w:val="24"/>
          <w:szCs w:val="24"/>
        </w:rPr>
        <w:t xml:space="preserve">aconteceu </w:t>
      </w:r>
      <w:r w:rsidR="004C5169">
        <w:rPr>
          <w:rFonts w:cstheme="minorHAnsi"/>
          <w:color w:val="000000"/>
          <w:sz w:val="24"/>
          <w:szCs w:val="24"/>
        </w:rPr>
        <w:t xml:space="preserve">foi </w:t>
      </w:r>
      <w:r w:rsidR="00636A89">
        <w:rPr>
          <w:rFonts w:cstheme="minorHAnsi"/>
          <w:color w:val="000000"/>
          <w:sz w:val="24"/>
          <w:szCs w:val="24"/>
        </w:rPr>
        <w:t>no</w:t>
      </w:r>
      <w:r w:rsidR="00FD3BC2">
        <w:rPr>
          <w:rFonts w:cstheme="minorHAnsi"/>
          <w:color w:val="000000"/>
          <w:sz w:val="24"/>
          <w:szCs w:val="24"/>
        </w:rPr>
        <w:t xml:space="preserve"> Paraíso </w:t>
      </w:r>
      <w:r>
        <w:rPr>
          <w:rFonts w:cstheme="minorHAnsi"/>
          <w:color w:val="000000"/>
          <w:sz w:val="24"/>
          <w:szCs w:val="24"/>
        </w:rPr>
        <w:t>(Gn 3:15)</w:t>
      </w:r>
      <w:r w:rsidR="00F80A3C">
        <w:rPr>
          <w:rFonts w:cstheme="minorHAnsi"/>
          <w:color w:val="000000"/>
          <w:sz w:val="24"/>
          <w:szCs w:val="24"/>
        </w:rPr>
        <w:t>; depois aos</w:t>
      </w:r>
      <w:r>
        <w:rPr>
          <w:rFonts w:cstheme="minorHAnsi"/>
          <w:color w:val="000000"/>
          <w:sz w:val="24"/>
          <w:szCs w:val="24"/>
        </w:rPr>
        <w:t xml:space="preserve"> patriarcas</w:t>
      </w:r>
      <w:r w:rsidR="00FD3BC2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na promessa feita a Abraão (Gn 12:2,3)</w:t>
      </w:r>
      <w:r w:rsidR="00636A89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na profecia de Jacó a respeito de Siló (Gn 49:10).  </w:t>
      </w:r>
    </w:p>
    <w:p w14:paraId="085B420B" w14:textId="5A03B348" w:rsidR="004331DD" w:rsidRDefault="004331DD" w:rsidP="0096048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Entretanto, as proclamações mais frequentes encontramos nos profetas, que anunciam o Messias como um Rei sábio e justo, descendente de Davi: Am 9:11; Mq 5:1ss; Is 9:5,6 e 11:1ss; Jr 23:5,6 e 30:9; Ez 34:24 e 37:24. </w:t>
      </w:r>
      <w:r w:rsidR="00FD3BC2">
        <w:rPr>
          <w:rFonts w:cstheme="minorHAnsi"/>
          <w:color w:val="000000"/>
          <w:sz w:val="24"/>
          <w:szCs w:val="24"/>
        </w:rPr>
        <w:t xml:space="preserve">Numa revelação </w:t>
      </w:r>
      <w:r w:rsidR="00636A89">
        <w:rPr>
          <w:rFonts w:cstheme="minorHAnsi"/>
          <w:color w:val="000000"/>
          <w:sz w:val="24"/>
          <w:szCs w:val="24"/>
        </w:rPr>
        <w:t xml:space="preserve">cada vez mais </w:t>
      </w:r>
      <w:r w:rsidR="00FD3BC2">
        <w:rPr>
          <w:rFonts w:cstheme="minorHAnsi"/>
          <w:color w:val="000000"/>
          <w:sz w:val="24"/>
          <w:szCs w:val="24"/>
        </w:rPr>
        <w:t xml:space="preserve">progressiva o AT </w:t>
      </w:r>
      <w:r w:rsidR="00636A89">
        <w:rPr>
          <w:rFonts w:cstheme="minorHAnsi"/>
          <w:color w:val="000000"/>
          <w:sz w:val="24"/>
          <w:szCs w:val="24"/>
        </w:rPr>
        <w:t>anuncia</w:t>
      </w:r>
      <w:r w:rsidR="00FD3BC2">
        <w:rPr>
          <w:rFonts w:cstheme="minorHAnsi"/>
          <w:color w:val="000000"/>
          <w:sz w:val="24"/>
          <w:szCs w:val="24"/>
        </w:rPr>
        <w:t xml:space="preserve"> o reino de glória que o Messias inaugurará, ao vencer o poder do pecado: Am 9:12ss; Mq 4:1-4; Is 2:2-4 e 11:6-10. </w:t>
      </w:r>
      <w:r w:rsidR="00B330F7">
        <w:rPr>
          <w:rFonts w:cstheme="minorHAnsi"/>
          <w:color w:val="000000"/>
          <w:sz w:val="24"/>
          <w:szCs w:val="24"/>
        </w:rPr>
        <w:t>Porém, essas profecias também o retratam como “homem de dores”, como “Servo sofredor do Senhor”, que pela sua morte justifica os pecadores (Is 53).</w:t>
      </w:r>
    </w:p>
    <w:p w14:paraId="08B34117" w14:textId="45711283" w:rsidR="00297EC9" w:rsidRPr="00CA6909" w:rsidRDefault="00297EC9" w:rsidP="0096048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  Nos Evangelhos e no livro de Atos encontramos essas profecias cumpridas: </w:t>
      </w:r>
      <w:r w:rsidR="004C516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confirma-se o </w:t>
      </w:r>
      <w:r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seu local de nascimento (Mq 5:2), a forma da sua morte (Sl 22 e Sl 69), sua ressurreição (Sl 16:10) e outros detalhes do seu ministério (Is 52:13-15, Is 9:1). Estes detalhes co</w:t>
      </w:r>
      <w:r w:rsidR="004C516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mprova</w:t>
      </w:r>
      <w:r w:rsidR="00F80A3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ra</w:t>
      </w:r>
      <w:r w:rsidR="004C516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m </w:t>
      </w:r>
      <w:r w:rsidR="00F80A3C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aos discípulos</w:t>
      </w:r>
      <w:r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que Jesus era o Messias prometido. O</w:t>
      </w:r>
      <w:r w:rsidR="00076F10"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</w:t>
      </w:r>
      <w:r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cânticos do Servo Sofredor </w:t>
      </w:r>
      <w:r w:rsidR="004C516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(</w:t>
      </w:r>
      <w:r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Is </w:t>
      </w:r>
      <w:r w:rsidR="00076F10"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42:1-9; </w:t>
      </w:r>
      <w:r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49</w:t>
      </w:r>
      <w:r w:rsidR="00076F10"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:1-6; 50:4-9 e 52:13-53:12) </w:t>
      </w:r>
      <w:r w:rsidR="004C516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foram</w:t>
      </w:r>
      <w:r w:rsidR="00076F10"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interpretados como uma antecipação profética da pessoa e obra de Cristo (Mt 8:17; At 8:32-33; Rm 15:</w:t>
      </w:r>
      <w:r w:rsidR="001E5D7A"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2</w:t>
      </w:r>
      <w:r w:rsidR="00076F10" w:rsidRPr="00CA6909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1). </w:t>
      </w:r>
    </w:p>
    <w:p w14:paraId="3766FE8A" w14:textId="347CB2CF" w:rsidR="004C5169" w:rsidRDefault="00D22EB4" w:rsidP="00134C78">
      <w:p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 w:rsidR="004C5169">
        <w:rPr>
          <w:rFonts w:cstheme="minorHAnsi"/>
          <w:color w:val="000000"/>
          <w:sz w:val="24"/>
          <w:szCs w:val="24"/>
        </w:rPr>
        <w:t>Entretanto, a</w:t>
      </w:r>
      <w:r>
        <w:rPr>
          <w:rFonts w:cstheme="minorHAnsi"/>
          <w:color w:val="000000"/>
          <w:sz w:val="24"/>
          <w:szCs w:val="24"/>
        </w:rPr>
        <w:t xml:space="preserve"> esperança messiânica dos discípulos </w:t>
      </w:r>
      <w:r w:rsidR="004C5169">
        <w:rPr>
          <w:rFonts w:cstheme="minorHAnsi"/>
          <w:color w:val="000000"/>
          <w:sz w:val="24"/>
          <w:szCs w:val="24"/>
        </w:rPr>
        <w:t xml:space="preserve">de Jesus </w:t>
      </w:r>
      <w:r>
        <w:rPr>
          <w:rFonts w:cstheme="minorHAnsi"/>
          <w:color w:val="000000"/>
          <w:sz w:val="24"/>
          <w:szCs w:val="24"/>
        </w:rPr>
        <w:t>ainda era, como a de muitos judeus, a d</w:t>
      </w:r>
      <w:r w:rsidR="00F23251">
        <w:rPr>
          <w:rFonts w:cstheme="minorHAnsi"/>
          <w:color w:val="000000"/>
          <w:sz w:val="24"/>
          <w:szCs w:val="24"/>
        </w:rPr>
        <w:t xml:space="preserve">e </w:t>
      </w:r>
      <w:r>
        <w:rPr>
          <w:rFonts w:cstheme="minorHAnsi"/>
          <w:color w:val="000000"/>
          <w:sz w:val="24"/>
          <w:szCs w:val="24"/>
        </w:rPr>
        <w:t>um reino político estabelecido por um descendente de Davi</w:t>
      </w:r>
      <w:r w:rsidR="00427266">
        <w:rPr>
          <w:rFonts w:cstheme="minorHAnsi"/>
          <w:color w:val="000000"/>
          <w:sz w:val="24"/>
          <w:szCs w:val="24"/>
        </w:rPr>
        <w:t xml:space="preserve">, um Rei </w:t>
      </w:r>
      <w:r>
        <w:rPr>
          <w:rFonts w:cstheme="minorHAnsi"/>
          <w:color w:val="000000"/>
          <w:sz w:val="24"/>
          <w:szCs w:val="24"/>
        </w:rPr>
        <w:t>(At 1:</w:t>
      </w:r>
      <w:r w:rsidR="00F80A3C">
        <w:rPr>
          <w:rFonts w:cstheme="minorHAnsi"/>
          <w:color w:val="000000"/>
          <w:sz w:val="24"/>
          <w:szCs w:val="24"/>
        </w:rPr>
        <w:t>6</w:t>
      </w:r>
      <w:r>
        <w:rPr>
          <w:rFonts w:cstheme="minorHAnsi"/>
          <w:color w:val="000000"/>
          <w:sz w:val="24"/>
          <w:szCs w:val="24"/>
        </w:rPr>
        <w:t xml:space="preserve">). Ainda </w:t>
      </w:r>
      <w:r w:rsidR="00B25202">
        <w:rPr>
          <w:rFonts w:cstheme="minorHAnsi"/>
          <w:color w:val="000000"/>
          <w:sz w:val="24"/>
          <w:szCs w:val="24"/>
        </w:rPr>
        <w:t xml:space="preserve">sonhavam da libertação do poder dos romanos. </w:t>
      </w:r>
    </w:p>
    <w:p w14:paraId="718F3E12" w14:textId="4E6D8100" w:rsidR="004C5169" w:rsidRDefault="004C5169" w:rsidP="00960483">
      <w:p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4C5169">
        <w:rPr>
          <w:rFonts w:cstheme="minorHAnsi"/>
          <w:b/>
          <w:i/>
          <w:sz w:val="24"/>
          <w:szCs w:val="24"/>
        </w:rPr>
        <w:t xml:space="preserve">Como os discípulos deveriam entender a promessa messiânica da </w:t>
      </w:r>
      <w:r w:rsidRPr="004C5169">
        <w:rPr>
          <w:rFonts w:cstheme="minorHAnsi"/>
          <w:b/>
          <w:i/>
          <w:color w:val="000000"/>
          <w:sz w:val="24"/>
          <w:szCs w:val="24"/>
        </w:rPr>
        <w:t xml:space="preserve">vinda de um Rei, que implementaria seu reino de Deus na terra? </w:t>
      </w:r>
    </w:p>
    <w:p w14:paraId="7720C817" w14:textId="22651712" w:rsidR="004C5169" w:rsidRDefault="004C5169" w:rsidP="00960483">
      <w:pPr>
        <w:pStyle w:val="Textodenotaderodap"/>
        <w:spacing w:line="259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Devemos entender que a profecia é uma palavra de Deus para todos os tempos e o tempo de cumprimento de uma profecia raramente é indicada na Bíblia. Isso é devido a vários fatores: algumas profecias aparecem juntas, como se fossem ser cumpridas simultaneamente. Os profetas viam os picos das montanhas dos eventos proféticos, mas não os vales do tempo entre elas. </w:t>
      </w:r>
      <w:r w:rsidR="00D1443F">
        <w:rPr>
          <w:rFonts w:cstheme="minorHAnsi"/>
          <w:color w:val="000000"/>
          <w:sz w:val="24"/>
          <w:szCs w:val="24"/>
        </w:rPr>
        <w:t>Do mesmo modo, q</w:t>
      </w:r>
      <w:r>
        <w:rPr>
          <w:rFonts w:cstheme="minorHAnsi"/>
          <w:color w:val="000000"/>
          <w:sz w:val="24"/>
          <w:szCs w:val="24"/>
        </w:rPr>
        <w:t xml:space="preserve">uando Jesus fala sobre o fim dos tempos, conforme registrado em Mateus 24 e 25, vemos que </w:t>
      </w:r>
      <w:r w:rsidR="00F80A3C">
        <w:rPr>
          <w:rFonts w:cstheme="minorHAnsi"/>
          <w:color w:val="000000"/>
          <w:sz w:val="24"/>
          <w:szCs w:val="24"/>
        </w:rPr>
        <w:t>Ele</w:t>
      </w:r>
      <w:r>
        <w:rPr>
          <w:rFonts w:cstheme="minorHAnsi"/>
          <w:color w:val="000000"/>
          <w:sz w:val="24"/>
          <w:szCs w:val="24"/>
        </w:rPr>
        <w:t xml:space="preserve"> parece entrelaçar o anúncio da queda de Jerusalém com profecias sobre o regresso do Filho do Homem e o fim do mundo</w:t>
      </w:r>
      <w:r w:rsidR="003F2555">
        <w:rPr>
          <w:rFonts w:cstheme="minorHAnsi"/>
          <w:color w:val="000000"/>
          <w:sz w:val="24"/>
          <w:szCs w:val="24"/>
        </w:rPr>
        <w:t xml:space="preserve">, colocando tudo sob </w:t>
      </w:r>
      <w:r w:rsidR="003F2555" w:rsidRPr="00F80A3C">
        <w:rPr>
          <w:rFonts w:cstheme="minorHAnsi"/>
          <w:color w:val="000000"/>
          <w:sz w:val="24"/>
          <w:szCs w:val="24"/>
        </w:rPr>
        <w:t>uma só perspectiva.</w:t>
      </w:r>
      <w:r w:rsidR="003F255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34090BC5" w14:textId="4892B7DC" w:rsidR="00F80A3C" w:rsidRDefault="004C5169" w:rsidP="00F80A3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Outro fator que complica o problema é que os profetas se centralizavam na realidade das suas profecias e não no tempo do seu cumprimento. Nas suas mentes, suas profecias já estavam cumpridas</w:t>
      </w:r>
      <w:r w:rsidR="005B06D2">
        <w:rPr>
          <w:rFonts w:cstheme="minorHAnsi"/>
          <w:color w:val="000000"/>
          <w:sz w:val="24"/>
          <w:szCs w:val="24"/>
        </w:rPr>
        <w:t>, porque sabiam</w:t>
      </w:r>
      <w:r w:rsidR="00CD68AF">
        <w:rPr>
          <w:rFonts w:cstheme="minorHAnsi"/>
          <w:color w:val="000000"/>
          <w:sz w:val="24"/>
          <w:szCs w:val="24"/>
        </w:rPr>
        <w:t xml:space="preserve"> que Deus estava no c</w:t>
      </w:r>
      <w:r w:rsidR="00993981">
        <w:rPr>
          <w:rFonts w:cstheme="minorHAnsi"/>
          <w:color w:val="000000"/>
          <w:sz w:val="24"/>
          <w:szCs w:val="24"/>
        </w:rPr>
        <w:t>o</w:t>
      </w:r>
      <w:r w:rsidR="00CD68AF">
        <w:rPr>
          <w:rFonts w:cstheme="minorHAnsi"/>
          <w:color w:val="000000"/>
          <w:sz w:val="24"/>
          <w:szCs w:val="24"/>
        </w:rPr>
        <w:t>mando da história</w:t>
      </w:r>
      <w:r>
        <w:rPr>
          <w:rFonts w:cstheme="minorHAnsi"/>
          <w:color w:val="000000"/>
          <w:sz w:val="24"/>
          <w:szCs w:val="24"/>
        </w:rPr>
        <w:t>.</w:t>
      </w:r>
      <w:r w:rsidR="00E90DDC">
        <w:rPr>
          <w:rFonts w:cstheme="minorHAnsi"/>
          <w:color w:val="000000"/>
          <w:sz w:val="24"/>
          <w:szCs w:val="24"/>
        </w:rPr>
        <w:t xml:space="preserve"> </w:t>
      </w:r>
      <w:r w:rsidR="00CD68AF">
        <w:rPr>
          <w:rFonts w:cstheme="minorHAnsi"/>
          <w:color w:val="000000"/>
          <w:sz w:val="24"/>
          <w:szCs w:val="24"/>
        </w:rPr>
        <w:t>Para Isaías, a Babilônia histórica já estava destruída (13</w:t>
      </w:r>
      <w:r w:rsidR="0016342A">
        <w:rPr>
          <w:rFonts w:cstheme="minorHAnsi"/>
          <w:color w:val="000000"/>
          <w:sz w:val="24"/>
          <w:szCs w:val="24"/>
        </w:rPr>
        <w:t xml:space="preserve">:20-21), embora o fato se daria anos depois. </w:t>
      </w:r>
      <w:r w:rsidR="00CD68AF">
        <w:rPr>
          <w:rFonts w:cstheme="minorHAnsi"/>
          <w:color w:val="000000"/>
          <w:sz w:val="24"/>
          <w:szCs w:val="24"/>
        </w:rPr>
        <w:t xml:space="preserve"> </w:t>
      </w:r>
      <w:r w:rsidR="00F80A3C">
        <w:rPr>
          <w:rFonts w:cstheme="minorHAnsi"/>
          <w:color w:val="000000"/>
          <w:sz w:val="24"/>
          <w:szCs w:val="24"/>
        </w:rPr>
        <w:t xml:space="preserve">       </w:t>
      </w:r>
    </w:p>
    <w:p w14:paraId="4AAC9B7F" w14:textId="03516DFD" w:rsidR="003F2555" w:rsidRDefault="00F80A3C" w:rsidP="003F2555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Um terceiro fator é que no NT a interpretação da profecia é feit</w:t>
      </w:r>
      <w:r w:rsidR="003F2555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n</w:t>
      </w:r>
      <w:r w:rsidR="00E90DDC" w:rsidRPr="00E90DDC">
        <w:rPr>
          <w:sz w:val="24"/>
          <w:szCs w:val="24"/>
        </w:rPr>
        <w:t xml:space="preserve">um sentido mais completo além do literal, o que os teólogos chamam de </w:t>
      </w:r>
      <w:r w:rsidR="00E90DDC" w:rsidRPr="00E90DDC">
        <w:rPr>
          <w:i/>
          <w:sz w:val="24"/>
          <w:szCs w:val="24"/>
        </w:rPr>
        <w:t>sensus plenior</w:t>
      </w:r>
      <w:r w:rsidR="00085FDC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Em </w:t>
      </w:r>
      <w:r>
        <w:rPr>
          <w:rFonts w:cstheme="minorHAnsi"/>
          <w:color w:val="000000"/>
          <w:sz w:val="24"/>
          <w:szCs w:val="24"/>
        </w:rPr>
        <w:t>Isaías (</w:t>
      </w:r>
      <w:r w:rsidRPr="00E90DDC">
        <w:rPr>
          <w:sz w:val="24"/>
          <w:szCs w:val="24"/>
        </w:rPr>
        <w:t>7:14</w:t>
      </w:r>
      <w:r>
        <w:rPr>
          <w:sz w:val="24"/>
          <w:szCs w:val="24"/>
        </w:rPr>
        <w:t>)</w:t>
      </w:r>
      <w:r w:rsidRPr="00E90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profeta </w:t>
      </w:r>
      <w:r w:rsidRPr="00E90DDC">
        <w:rPr>
          <w:sz w:val="24"/>
          <w:szCs w:val="24"/>
        </w:rPr>
        <w:t>prediz o nascimento de uma criança que servirá de sinal a</w:t>
      </w:r>
      <w:r>
        <w:rPr>
          <w:sz w:val="24"/>
          <w:szCs w:val="24"/>
        </w:rPr>
        <w:t>o rei</w:t>
      </w:r>
      <w:r w:rsidRPr="00E90DDC">
        <w:rPr>
          <w:sz w:val="24"/>
          <w:szCs w:val="24"/>
        </w:rPr>
        <w:t xml:space="preserve"> Acaz, mas Mateus (1:23) achou um sentido mais completo </w:t>
      </w:r>
      <w:r>
        <w:rPr>
          <w:sz w:val="24"/>
          <w:szCs w:val="24"/>
        </w:rPr>
        <w:t xml:space="preserve">a esta profecia </w:t>
      </w:r>
      <w:r w:rsidRPr="00E90DDC">
        <w:rPr>
          <w:sz w:val="24"/>
          <w:szCs w:val="24"/>
        </w:rPr>
        <w:t xml:space="preserve">e diz que o nascimento de Jesus é o </w:t>
      </w:r>
      <w:r w:rsidR="0005640A">
        <w:rPr>
          <w:sz w:val="24"/>
          <w:szCs w:val="24"/>
        </w:rPr>
        <w:t xml:space="preserve">seu </w:t>
      </w:r>
      <w:r w:rsidRPr="00E90DDC">
        <w:rPr>
          <w:sz w:val="24"/>
          <w:szCs w:val="24"/>
        </w:rPr>
        <w:t>cumprimento</w:t>
      </w:r>
      <w:r w:rsidR="0005640A">
        <w:rPr>
          <w:sz w:val="24"/>
          <w:szCs w:val="24"/>
        </w:rPr>
        <w:t xml:space="preserve">. </w:t>
      </w:r>
      <w:r w:rsidR="00085FDC">
        <w:rPr>
          <w:sz w:val="24"/>
          <w:szCs w:val="24"/>
        </w:rPr>
        <w:t>E</w:t>
      </w:r>
      <w:r w:rsidR="00E90DDC" w:rsidRPr="00E90DDC">
        <w:rPr>
          <w:sz w:val="24"/>
          <w:szCs w:val="24"/>
        </w:rPr>
        <w:t xml:space="preserve">stes modos de interpretação são comuns no NT, onde se vê um cumprimento básico e mais profundo que Deus queria comunicar. </w:t>
      </w:r>
    </w:p>
    <w:p w14:paraId="1245FF99" w14:textId="46B6E01B" w:rsidR="004C5169" w:rsidRDefault="003F2555" w:rsidP="00134C78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342A">
        <w:rPr>
          <w:sz w:val="24"/>
          <w:szCs w:val="24"/>
        </w:rPr>
        <w:t>O</w:t>
      </w:r>
      <w:r w:rsidR="00CD174C">
        <w:rPr>
          <w:sz w:val="24"/>
          <w:szCs w:val="24"/>
        </w:rPr>
        <w:t xml:space="preserve"> pleno estabelecimento do Reino acontecerá na segunda vinda do Messias</w:t>
      </w:r>
      <w:r w:rsidR="0016342A">
        <w:rPr>
          <w:sz w:val="24"/>
          <w:szCs w:val="24"/>
        </w:rPr>
        <w:t xml:space="preserve">, quando Ele </w:t>
      </w:r>
      <w:r w:rsidR="005B06D2">
        <w:rPr>
          <w:sz w:val="24"/>
          <w:szCs w:val="24"/>
        </w:rPr>
        <w:t xml:space="preserve">voltará como Rei, não só de Israel, mas de todas as nações (Ap 15:3-4). </w:t>
      </w:r>
      <w:r w:rsidR="00134C78">
        <w:rPr>
          <w:sz w:val="24"/>
          <w:szCs w:val="24"/>
        </w:rPr>
        <w:t>Enquanto isso a Igreja deve guardar a Palavra de Deus e testemunhar de Jesus</w:t>
      </w:r>
      <w:r w:rsidR="00D1443F">
        <w:rPr>
          <w:sz w:val="24"/>
          <w:szCs w:val="24"/>
        </w:rPr>
        <w:t xml:space="preserve">, pontos enfatizados </w:t>
      </w:r>
      <w:r w:rsidR="0016342A">
        <w:rPr>
          <w:sz w:val="24"/>
          <w:szCs w:val="24"/>
        </w:rPr>
        <w:t>em</w:t>
      </w:r>
      <w:r w:rsidR="00D1443F">
        <w:rPr>
          <w:sz w:val="24"/>
          <w:szCs w:val="24"/>
        </w:rPr>
        <w:t xml:space="preserve"> Apocalipse</w:t>
      </w:r>
      <w:r w:rsidR="00C605CC">
        <w:rPr>
          <w:sz w:val="24"/>
          <w:szCs w:val="24"/>
        </w:rPr>
        <w:t xml:space="preserve"> </w:t>
      </w:r>
      <w:r w:rsidR="00C605CC">
        <w:rPr>
          <w:sz w:val="24"/>
          <w:szCs w:val="24"/>
        </w:rPr>
        <w:t>(At 1:8; Ap 1:2-3; 6:9; 12:17; 14:12; 20:4)</w:t>
      </w:r>
      <w:bookmarkStart w:id="0" w:name="_GoBack"/>
      <w:bookmarkEnd w:id="0"/>
      <w:r w:rsidR="00134C78">
        <w:rPr>
          <w:sz w:val="24"/>
          <w:szCs w:val="24"/>
        </w:rPr>
        <w:t>.</w:t>
      </w:r>
    </w:p>
    <w:p w14:paraId="5CF79439" w14:textId="07C586B4" w:rsidR="00085FDC" w:rsidRPr="004C5169" w:rsidRDefault="00681DDF" w:rsidP="00960483">
      <w:p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4C5169">
        <w:rPr>
          <w:rFonts w:cstheme="minorHAnsi"/>
          <w:b/>
          <w:i/>
          <w:sz w:val="24"/>
          <w:szCs w:val="24"/>
        </w:rPr>
        <w:t xml:space="preserve">Como os discípulos deveriam entender </w:t>
      </w:r>
      <w:r w:rsidR="00085FDC" w:rsidRPr="004C5169">
        <w:rPr>
          <w:rFonts w:cstheme="minorHAnsi"/>
          <w:b/>
          <w:i/>
          <w:color w:val="000000"/>
          <w:sz w:val="24"/>
          <w:szCs w:val="24"/>
        </w:rPr>
        <w:t>a mensagem do Novo Testamento de uma segunda vinda do Messias, e, então, o pleno estabelecimento do reino de Deus?</w:t>
      </w:r>
    </w:p>
    <w:p w14:paraId="437DB9E0" w14:textId="6C259145" w:rsidR="00085FDC" w:rsidRDefault="0005640A" w:rsidP="0096048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 qualquer forma</w:t>
      </w:r>
      <w:r w:rsidR="00636A89">
        <w:rPr>
          <w:rFonts w:cstheme="minorHAnsi"/>
          <w:color w:val="000000"/>
          <w:sz w:val="24"/>
          <w:szCs w:val="24"/>
        </w:rPr>
        <w:t>, o</w:t>
      </w:r>
      <w:r w:rsidR="003000C9">
        <w:rPr>
          <w:rFonts w:cstheme="minorHAnsi"/>
          <w:color w:val="000000"/>
          <w:sz w:val="24"/>
          <w:szCs w:val="24"/>
        </w:rPr>
        <w:t xml:space="preserve">s apóstolos esperavam a segunda vinda de Cristo </w:t>
      </w:r>
      <w:r w:rsidR="003000C9" w:rsidRPr="0005640A">
        <w:rPr>
          <w:rFonts w:cstheme="minorHAnsi"/>
          <w:b/>
          <w:i/>
          <w:color w:val="000000"/>
          <w:sz w:val="24"/>
          <w:szCs w:val="24"/>
        </w:rPr>
        <w:t>em breve</w:t>
      </w:r>
      <w:r w:rsidR="00FD2116" w:rsidRPr="003F2555">
        <w:rPr>
          <w:rFonts w:cstheme="minorHAnsi"/>
          <w:color w:val="000000"/>
          <w:sz w:val="24"/>
          <w:szCs w:val="24"/>
        </w:rPr>
        <w:t>.</w:t>
      </w:r>
      <w:r w:rsidR="00FD2116">
        <w:rPr>
          <w:rFonts w:cstheme="minorHAnsi"/>
          <w:color w:val="000000"/>
          <w:sz w:val="24"/>
          <w:szCs w:val="24"/>
        </w:rPr>
        <w:t xml:space="preserve"> É o que percebemos</w:t>
      </w:r>
      <w:r w:rsidR="0016342A">
        <w:rPr>
          <w:rFonts w:cstheme="minorHAnsi"/>
          <w:color w:val="000000"/>
          <w:sz w:val="24"/>
          <w:szCs w:val="24"/>
        </w:rPr>
        <w:t xml:space="preserve"> </w:t>
      </w:r>
      <w:r w:rsidR="00FD2116">
        <w:rPr>
          <w:rFonts w:cstheme="minorHAnsi"/>
          <w:color w:val="000000"/>
          <w:sz w:val="24"/>
          <w:szCs w:val="24"/>
        </w:rPr>
        <w:t xml:space="preserve">em </w:t>
      </w:r>
      <w:r w:rsidR="00085FDC">
        <w:rPr>
          <w:rFonts w:cstheme="minorHAnsi"/>
          <w:color w:val="000000"/>
          <w:sz w:val="24"/>
          <w:szCs w:val="24"/>
        </w:rPr>
        <w:t>Paulo (</w:t>
      </w:r>
      <w:r w:rsidR="00FD2116">
        <w:rPr>
          <w:rFonts w:cstheme="minorHAnsi"/>
          <w:color w:val="000000"/>
          <w:sz w:val="24"/>
          <w:szCs w:val="24"/>
        </w:rPr>
        <w:t>1Co 7:29</w:t>
      </w:r>
      <w:r w:rsidR="00085FDC">
        <w:rPr>
          <w:rFonts w:cstheme="minorHAnsi"/>
          <w:color w:val="000000"/>
          <w:sz w:val="24"/>
          <w:szCs w:val="24"/>
        </w:rPr>
        <w:t xml:space="preserve">), </w:t>
      </w:r>
      <w:r w:rsidR="00681DDF">
        <w:rPr>
          <w:rFonts w:cstheme="minorHAnsi"/>
          <w:color w:val="000000"/>
          <w:sz w:val="24"/>
          <w:szCs w:val="24"/>
        </w:rPr>
        <w:t xml:space="preserve">em </w:t>
      </w:r>
      <w:r w:rsidR="00085FDC">
        <w:rPr>
          <w:rFonts w:cstheme="minorHAnsi"/>
          <w:color w:val="000000"/>
          <w:sz w:val="24"/>
          <w:szCs w:val="24"/>
        </w:rPr>
        <w:t>Tiago (Tg 5:8), no autor de Hebreus (</w:t>
      </w:r>
      <w:r w:rsidR="00FD2116">
        <w:rPr>
          <w:rFonts w:cstheme="minorHAnsi"/>
          <w:color w:val="000000"/>
          <w:sz w:val="24"/>
          <w:szCs w:val="24"/>
        </w:rPr>
        <w:t>Hb 10:25,37</w:t>
      </w:r>
      <w:r w:rsidR="00085FDC">
        <w:rPr>
          <w:rFonts w:cstheme="minorHAnsi"/>
          <w:color w:val="000000"/>
          <w:sz w:val="24"/>
          <w:szCs w:val="24"/>
        </w:rPr>
        <w:t xml:space="preserve">) e </w:t>
      </w:r>
      <w:r w:rsidR="00993981">
        <w:rPr>
          <w:rFonts w:cstheme="minorHAnsi"/>
          <w:color w:val="000000"/>
          <w:sz w:val="24"/>
          <w:szCs w:val="24"/>
        </w:rPr>
        <w:t>em</w:t>
      </w:r>
      <w:r w:rsidR="00085FDC">
        <w:rPr>
          <w:rFonts w:cstheme="minorHAnsi"/>
          <w:color w:val="000000"/>
          <w:sz w:val="24"/>
          <w:szCs w:val="24"/>
        </w:rPr>
        <w:t xml:space="preserve"> João (</w:t>
      </w:r>
      <w:r w:rsidR="00FD2116">
        <w:rPr>
          <w:rFonts w:cstheme="minorHAnsi"/>
          <w:color w:val="000000"/>
          <w:sz w:val="24"/>
          <w:szCs w:val="24"/>
        </w:rPr>
        <w:t>Ap 1:3; 22:12</w:t>
      </w:r>
      <w:r w:rsidR="00085FDC">
        <w:rPr>
          <w:rFonts w:cstheme="minorHAnsi"/>
          <w:color w:val="000000"/>
          <w:sz w:val="24"/>
          <w:szCs w:val="24"/>
        </w:rPr>
        <w:t>)</w:t>
      </w:r>
      <w:r w:rsidR="00FD2116">
        <w:rPr>
          <w:rFonts w:cstheme="minorHAnsi"/>
          <w:color w:val="000000"/>
          <w:sz w:val="24"/>
          <w:szCs w:val="24"/>
        </w:rPr>
        <w:t>. Pedro</w:t>
      </w:r>
      <w:r w:rsidR="008432E1">
        <w:rPr>
          <w:rFonts w:cstheme="minorHAnsi"/>
          <w:color w:val="000000"/>
          <w:sz w:val="24"/>
          <w:szCs w:val="24"/>
        </w:rPr>
        <w:t>, no entanto,</w:t>
      </w:r>
      <w:r w:rsidR="00FD2116">
        <w:rPr>
          <w:rFonts w:cstheme="minorHAnsi"/>
          <w:color w:val="000000"/>
          <w:sz w:val="24"/>
          <w:szCs w:val="24"/>
        </w:rPr>
        <w:t xml:space="preserve"> explica que </w:t>
      </w:r>
      <w:r w:rsidR="00636A89">
        <w:rPr>
          <w:rFonts w:cstheme="minorHAnsi"/>
          <w:color w:val="000000"/>
          <w:sz w:val="24"/>
          <w:szCs w:val="24"/>
        </w:rPr>
        <w:t xml:space="preserve">a vinda de Jesus pode demorar pois </w:t>
      </w:r>
      <w:r w:rsidR="00681DDF">
        <w:rPr>
          <w:rFonts w:cstheme="minorHAnsi"/>
          <w:color w:val="000000"/>
          <w:sz w:val="24"/>
          <w:szCs w:val="24"/>
        </w:rPr>
        <w:t xml:space="preserve">Deus </w:t>
      </w:r>
      <w:r w:rsidR="00636A89">
        <w:rPr>
          <w:rFonts w:cstheme="minorHAnsi"/>
          <w:color w:val="000000"/>
          <w:sz w:val="24"/>
          <w:szCs w:val="24"/>
        </w:rPr>
        <w:t>quer que muitos ainda sejam salvos</w:t>
      </w:r>
      <w:r w:rsidR="00085FDC">
        <w:rPr>
          <w:rFonts w:cstheme="minorHAnsi"/>
          <w:color w:val="000000"/>
          <w:sz w:val="24"/>
          <w:szCs w:val="24"/>
        </w:rPr>
        <w:t xml:space="preserve"> (2Pe 1:11)</w:t>
      </w:r>
      <w:r w:rsidR="00636A89">
        <w:rPr>
          <w:rFonts w:cstheme="minorHAnsi"/>
          <w:color w:val="000000"/>
          <w:sz w:val="24"/>
          <w:szCs w:val="24"/>
        </w:rPr>
        <w:t xml:space="preserve">. </w:t>
      </w:r>
      <w:r w:rsidR="00993981">
        <w:rPr>
          <w:rFonts w:cstheme="minorHAnsi"/>
          <w:color w:val="000000"/>
          <w:sz w:val="24"/>
          <w:szCs w:val="24"/>
        </w:rPr>
        <w:t>E isto faz parte da plenitude dos últimos tempos (Ap 6:11).</w:t>
      </w:r>
    </w:p>
    <w:p w14:paraId="0A182869" w14:textId="683717BB" w:rsidR="00085FDC" w:rsidRPr="00085FDC" w:rsidRDefault="00085FDC" w:rsidP="0096048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085FDC">
        <w:rPr>
          <w:rFonts w:cstheme="minorHAnsi"/>
          <w:color w:val="000000"/>
          <w:sz w:val="24"/>
          <w:szCs w:val="24"/>
        </w:rPr>
        <w:t xml:space="preserve">   </w:t>
      </w:r>
      <w:r w:rsidR="008432E1">
        <w:rPr>
          <w:rFonts w:cstheme="minorHAnsi"/>
          <w:color w:val="000000"/>
          <w:sz w:val="24"/>
          <w:szCs w:val="24"/>
        </w:rPr>
        <w:t xml:space="preserve">O tempo da segunda vinda </w:t>
      </w:r>
      <w:r w:rsidR="003F2555">
        <w:rPr>
          <w:rFonts w:cstheme="minorHAnsi"/>
          <w:color w:val="000000"/>
          <w:sz w:val="24"/>
          <w:szCs w:val="24"/>
        </w:rPr>
        <w:t>não foi dito a</w:t>
      </w:r>
      <w:r w:rsidRPr="00085FDC">
        <w:rPr>
          <w:rFonts w:cstheme="minorHAnsi"/>
          <w:color w:val="000000"/>
          <w:sz w:val="24"/>
          <w:szCs w:val="24"/>
        </w:rPr>
        <w:t xml:space="preserve">os </w:t>
      </w:r>
      <w:r w:rsidR="008432E1">
        <w:rPr>
          <w:rFonts w:cstheme="minorHAnsi"/>
          <w:color w:val="000000"/>
          <w:sz w:val="24"/>
          <w:szCs w:val="24"/>
        </w:rPr>
        <w:t>discípulo</w:t>
      </w:r>
      <w:r w:rsidRPr="00085FDC">
        <w:rPr>
          <w:rFonts w:cstheme="minorHAnsi"/>
          <w:color w:val="000000"/>
          <w:sz w:val="24"/>
          <w:szCs w:val="24"/>
        </w:rPr>
        <w:t>s</w:t>
      </w:r>
      <w:r w:rsidR="003F2555">
        <w:rPr>
          <w:rFonts w:cstheme="minorHAnsi"/>
          <w:color w:val="000000"/>
          <w:sz w:val="24"/>
          <w:szCs w:val="24"/>
        </w:rPr>
        <w:t>.</w:t>
      </w:r>
      <w:r w:rsidRPr="00085FDC">
        <w:rPr>
          <w:rFonts w:cstheme="minorHAnsi"/>
          <w:color w:val="000000"/>
          <w:sz w:val="24"/>
          <w:szCs w:val="24"/>
        </w:rPr>
        <w:t xml:space="preserve"> Momentos antes da sua ascensão, Jesus lhes respondeu que isto não lhes competia; era assunto de Deus. Receberiam o Espírito Santo e deveriam testemunhar Dele. Isto sim </w:t>
      </w:r>
      <w:r w:rsidR="008432E1">
        <w:rPr>
          <w:rFonts w:cstheme="minorHAnsi"/>
          <w:color w:val="000000"/>
          <w:sz w:val="24"/>
          <w:szCs w:val="24"/>
        </w:rPr>
        <w:t>é</w:t>
      </w:r>
      <w:r w:rsidRPr="00085FDC">
        <w:rPr>
          <w:rFonts w:cstheme="minorHAnsi"/>
          <w:color w:val="000000"/>
          <w:sz w:val="24"/>
          <w:szCs w:val="24"/>
        </w:rPr>
        <w:t xml:space="preserve"> assunto de</w:t>
      </w:r>
      <w:r w:rsidR="008432E1">
        <w:rPr>
          <w:rFonts w:cstheme="minorHAnsi"/>
          <w:color w:val="000000"/>
          <w:sz w:val="24"/>
          <w:szCs w:val="24"/>
        </w:rPr>
        <w:t xml:space="preserve"> todo discípulo de Cristo. </w:t>
      </w:r>
    </w:p>
    <w:p w14:paraId="41E0D3C1" w14:textId="61F40849" w:rsidR="00085FDC" w:rsidRPr="00E90DDC" w:rsidRDefault="00085FDC" w:rsidP="00960483">
      <w:pPr>
        <w:pStyle w:val="Textodenotaderodap"/>
        <w:spacing w:line="259" w:lineRule="auto"/>
        <w:rPr>
          <w:sz w:val="24"/>
          <w:szCs w:val="24"/>
        </w:rPr>
      </w:pPr>
      <w:r w:rsidRPr="00085FDC">
        <w:rPr>
          <w:rFonts w:cstheme="minorHAnsi"/>
          <w:color w:val="000000"/>
          <w:sz w:val="24"/>
          <w:szCs w:val="24"/>
        </w:rPr>
        <w:t xml:space="preserve">   </w:t>
      </w:r>
      <w:r>
        <w:rPr>
          <w:rFonts w:cstheme="minorHAnsi"/>
          <w:color w:val="000000"/>
          <w:sz w:val="24"/>
          <w:szCs w:val="24"/>
        </w:rPr>
        <w:t>Embora o</w:t>
      </w:r>
      <w:r w:rsidRPr="00E90DDC">
        <w:rPr>
          <w:sz w:val="24"/>
          <w:szCs w:val="24"/>
        </w:rPr>
        <w:t>s crentes não dev</w:t>
      </w:r>
      <w:r>
        <w:rPr>
          <w:sz w:val="24"/>
          <w:szCs w:val="24"/>
        </w:rPr>
        <w:t>a</w:t>
      </w:r>
      <w:r w:rsidRPr="00E90DDC">
        <w:rPr>
          <w:sz w:val="24"/>
          <w:szCs w:val="24"/>
        </w:rPr>
        <w:t xml:space="preserve">m ser ignorantes quanto aos sinais que mostram a aproximação do dia (Hb 10:25), ao mesmo tempo Jesus previne </w:t>
      </w:r>
      <w:r>
        <w:rPr>
          <w:sz w:val="24"/>
          <w:szCs w:val="24"/>
        </w:rPr>
        <w:t xml:space="preserve">em não </w:t>
      </w:r>
      <w:r w:rsidRPr="00E90DDC">
        <w:rPr>
          <w:sz w:val="24"/>
          <w:szCs w:val="24"/>
        </w:rPr>
        <w:t>marca</w:t>
      </w:r>
      <w:r>
        <w:rPr>
          <w:sz w:val="24"/>
          <w:szCs w:val="24"/>
        </w:rPr>
        <w:t>r a</w:t>
      </w:r>
      <w:r w:rsidRPr="00E90DDC">
        <w:rPr>
          <w:sz w:val="24"/>
          <w:szCs w:val="24"/>
        </w:rPr>
        <w:t xml:space="preserve"> sua vinda (Mt 24:42).</w:t>
      </w:r>
      <w:r>
        <w:rPr>
          <w:sz w:val="24"/>
          <w:szCs w:val="24"/>
        </w:rPr>
        <w:t xml:space="preserve"> </w:t>
      </w:r>
      <w:r w:rsidRPr="00E90DDC">
        <w:rPr>
          <w:sz w:val="24"/>
          <w:szCs w:val="24"/>
        </w:rPr>
        <w:t xml:space="preserve">Não </w:t>
      </w:r>
      <w:r w:rsidR="00806EA5">
        <w:rPr>
          <w:sz w:val="24"/>
          <w:szCs w:val="24"/>
        </w:rPr>
        <w:t xml:space="preserve">se </w:t>
      </w:r>
      <w:r w:rsidRPr="00E90DDC">
        <w:rPr>
          <w:sz w:val="24"/>
          <w:szCs w:val="24"/>
        </w:rPr>
        <w:t>sabe os detalhes da sua vinda, mas certos fatos são certos: a) o evangelho será proclamado por todo o mundo</w:t>
      </w:r>
      <w:r w:rsidR="003F2555">
        <w:rPr>
          <w:sz w:val="24"/>
          <w:szCs w:val="24"/>
        </w:rPr>
        <w:t xml:space="preserve"> (Mt 24:14)</w:t>
      </w:r>
      <w:r w:rsidRPr="00E90DDC">
        <w:rPr>
          <w:sz w:val="24"/>
          <w:szCs w:val="24"/>
        </w:rPr>
        <w:t>; b) haverá cada vez mais oposição à proclamação do Evangelho, através da perseguição e/ou do apelo à idolatria e imoralidade, com um esfriamento do amor</w:t>
      </w:r>
      <w:r w:rsidR="003F2555">
        <w:rPr>
          <w:sz w:val="24"/>
          <w:szCs w:val="24"/>
        </w:rPr>
        <w:t xml:space="preserve"> (Mt 24:9-12)</w:t>
      </w:r>
      <w:r w:rsidRPr="00E90DDC">
        <w:rPr>
          <w:sz w:val="24"/>
          <w:szCs w:val="24"/>
        </w:rPr>
        <w:t xml:space="preserve">.  </w:t>
      </w:r>
    </w:p>
    <w:p w14:paraId="5A089344" w14:textId="3DA6F2D6" w:rsidR="00E90DDC" w:rsidRPr="00297EC9" w:rsidRDefault="00681DDF" w:rsidP="0096048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Assim como os apóstolos, </w:t>
      </w:r>
      <w:r w:rsidR="0016342A">
        <w:rPr>
          <w:rFonts w:cstheme="minorHAnsi"/>
          <w:color w:val="000000"/>
          <w:sz w:val="24"/>
          <w:szCs w:val="24"/>
        </w:rPr>
        <w:t>tod</w:t>
      </w:r>
      <w:r w:rsidR="00806EA5">
        <w:rPr>
          <w:rFonts w:cstheme="minorHAnsi"/>
          <w:color w:val="000000"/>
          <w:sz w:val="24"/>
          <w:szCs w:val="24"/>
        </w:rPr>
        <w:t xml:space="preserve">a geração </w:t>
      </w:r>
      <w:r>
        <w:rPr>
          <w:rFonts w:cstheme="minorHAnsi"/>
          <w:color w:val="000000"/>
          <w:sz w:val="24"/>
          <w:szCs w:val="24"/>
        </w:rPr>
        <w:t xml:space="preserve">deve esperar a segunda vinda de Jesus </w:t>
      </w:r>
      <w:r w:rsidRPr="0005640A">
        <w:rPr>
          <w:rFonts w:cstheme="minorHAnsi"/>
          <w:b/>
          <w:i/>
          <w:color w:val="000000"/>
          <w:sz w:val="24"/>
          <w:szCs w:val="24"/>
        </w:rPr>
        <w:t>em breve</w:t>
      </w:r>
      <w:r w:rsidR="008432E1">
        <w:rPr>
          <w:rFonts w:cstheme="minorHAnsi"/>
          <w:color w:val="000000"/>
          <w:sz w:val="24"/>
          <w:szCs w:val="24"/>
        </w:rPr>
        <w:t>, sóbrios e vigilantes (1Pe 5:8)</w:t>
      </w:r>
      <w:r w:rsidRPr="00681DDF">
        <w:rPr>
          <w:rFonts w:cstheme="minorHAnsi"/>
          <w:color w:val="000000"/>
          <w:sz w:val="24"/>
          <w:szCs w:val="24"/>
        </w:rPr>
        <w:t xml:space="preserve">. </w:t>
      </w:r>
      <w:r w:rsidR="0016342A">
        <w:rPr>
          <w:rFonts w:cstheme="minorHAnsi"/>
          <w:color w:val="000000"/>
          <w:sz w:val="24"/>
          <w:szCs w:val="24"/>
        </w:rPr>
        <w:t>O</w:t>
      </w:r>
      <w:r w:rsidR="00E90DDC" w:rsidRPr="00681DDF">
        <w:rPr>
          <w:rFonts w:cstheme="minorHAnsi"/>
          <w:color w:val="000000"/>
          <w:sz w:val="24"/>
          <w:szCs w:val="24"/>
        </w:rPr>
        <w:t xml:space="preserve"> Rei ainda está nos céus, mas seu Reino já está visível. </w:t>
      </w:r>
      <w:r w:rsidR="00134C78">
        <w:rPr>
          <w:rFonts w:cstheme="minorHAnsi"/>
          <w:color w:val="000000"/>
          <w:sz w:val="24"/>
          <w:szCs w:val="24"/>
        </w:rPr>
        <w:t>A</w:t>
      </w:r>
      <w:r w:rsidR="00E90DDC" w:rsidRPr="00681DDF">
        <w:rPr>
          <w:rFonts w:cstheme="minorHAnsi"/>
          <w:color w:val="000000"/>
          <w:sz w:val="24"/>
          <w:szCs w:val="24"/>
        </w:rPr>
        <w:t>s últimas coisas devem acontecer</w:t>
      </w:r>
      <w:r w:rsidR="00134C78">
        <w:rPr>
          <w:rFonts w:cstheme="minorHAnsi"/>
          <w:color w:val="000000"/>
          <w:sz w:val="24"/>
          <w:szCs w:val="24"/>
        </w:rPr>
        <w:t xml:space="preserve"> </w:t>
      </w:r>
      <w:r w:rsidR="00134C78" w:rsidRPr="0005640A">
        <w:rPr>
          <w:rFonts w:cstheme="minorHAnsi"/>
          <w:b/>
          <w:i/>
          <w:color w:val="000000"/>
          <w:sz w:val="24"/>
          <w:szCs w:val="24"/>
        </w:rPr>
        <w:t>em breve</w:t>
      </w:r>
      <w:r w:rsidR="00134C78">
        <w:rPr>
          <w:rFonts w:cstheme="minorHAnsi"/>
          <w:color w:val="000000"/>
          <w:sz w:val="24"/>
          <w:szCs w:val="24"/>
        </w:rPr>
        <w:t>!</w:t>
      </w:r>
      <w:r w:rsidR="00E90DDC" w:rsidRPr="00681DDF">
        <w:rPr>
          <w:rFonts w:cstheme="minorHAnsi"/>
          <w:color w:val="000000"/>
          <w:sz w:val="24"/>
          <w:szCs w:val="24"/>
        </w:rPr>
        <w:t xml:space="preserve"> (Ap 1:1)</w:t>
      </w:r>
      <w:r w:rsidR="00E90DDC">
        <w:rPr>
          <w:rFonts w:cstheme="minorHAnsi"/>
          <w:color w:val="000000"/>
          <w:sz w:val="24"/>
          <w:szCs w:val="24"/>
        </w:rPr>
        <w:t xml:space="preserve">  </w:t>
      </w:r>
    </w:p>
    <w:p w14:paraId="5498BBED" w14:textId="0DAC741E" w:rsidR="004C5169" w:rsidRPr="008432E1" w:rsidRDefault="004C5169" w:rsidP="0016342A">
      <w:pPr>
        <w:autoSpaceDE w:val="0"/>
        <w:autoSpaceDN w:val="0"/>
        <w:adjustRightInd w:val="0"/>
        <w:spacing w:after="0"/>
        <w:rPr>
          <w:rFonts w:cstheme="minorHAnsi"/>
          <w:color w:val="000000"/>
          <w:sz w:val="16"/>
          <w:szCs w:val="16"/>
        </w:rPr>
      </w:pPr>
    </w:p>
    <w:p w14:paraId="1073A652" w14:textId="77777777" w:rsidR="00C775FA" w:rsidRPr="008432E1" w:rsidRDefault="00C775FA" w:rsidP="00960483">
      <w:pPr>
        <w:pStyle w:val="Textodenotaderodap"/>
        <w:spacing w:line="259" w:lineRule="auto"/>
        <w:rPr>
          <w:b/>
        </w:rPr>
      </w:pPr>
      <w:r w:rsidRPr="008432E1">
        <w:rPr>
          <w:b/>
        </w:rPr>
        <w:t>Fontes:</w:t>
      </w:r>
    </w:p>
    <w:p w14:paraId="6BC0D85A" w14:textId="37071744" w:rsidR="00C775FA" w:rsidRPr="00134C78" w:rsidRDefault="00C775FA" w:rsidP="00960483">
      <w:pPr>
        <w:pStyle w:val="Textodenotaderodap"/>
        <w:spacing w:line="259" w:lineRule="auto"/>
      </w:pPr>
      <w:r w:rsidRPr="00134C78">
        <w:t xml:space="preserve">1) Bíblia de Estudo Almeida, </w:t>
      </w:r>
      <w:r w:rsidR="00085843" w:rsidRPr="00134C78">
        <w:t>Soc</w:t>
      </w:r>
      <w:r w:rsidR="00F80A3C">
        <w:t xml:space="preserve">. </w:t>
      </w:r>
      <w:r w:rsidR="00085843" w:rsidRPr="00134C78">
        <w:t xml:space="preserve">Bíblica do Brasil, Barueri, 1999, </w:t>
      </w:r>
      <w:r w:rsidRPr="00134C78">
        <w:t>nota de rodapé em Is 42:1, Mt 24:1</w:t>
      </w:r>
      <w:r w:rsidR="0016342A">
        <w:t>.</w:t>
      </w:r>
    </w:p>
    <w:p w14:paraId="1EFF870E" w14:textId="232D53F0" w:rsidR="004C5169" w:rsidRPr="00134C78" w:rsidRDefault="00C775FA" w:rsidP="00960483">
      <w:pPr>
        <w:pStyle w:val="Textodenotaderodap"/>
        <w:spacing w:line="259" w:lineRule="auto"/>
      </w:pPr>
      <w:r w:rsidRPr="00134C78">
        <w:t xml:space="preserve">2) </w:t>
      </w:r>
      <w:r w:rsidR="004C5169" w:rsidRPr="00134C78">
        <w:t>Christelijke Encyclopedie, editora J.H. Kok N.V., Kampen (Holanda), 2a. edição, 1959, volume 4, verbete “</w:t>
      </w:r>
      <w:r w:rsidR="00085843" w:rsidRPr="00134C78">
        <w:t>p</w:t>
      </w:r>
      <w:r w:rsidR="004C5169" w:rsidRPr="00134C78">
        <w:t>rofecia messiânica”</w:t>
      </w:r>
      <w:r w:rsidR="0016342A">
        <w:t>.</w:t>
      </w:r>
    </w:p>
    <w:p w14:paraId="4B96E1D8" w14:textId="71BA120C" w:rsidR="00C775FA" w:rsidRPr="00134C78" w:rsidRDefault="00C775FA" w:rsidP="00960483">
      <w:pPr>
        <w:pStyle w:val="Textodenotaderodap"/>
        <w:spacing w:line="259" w:lineRule="auto"/>
      </w:pPr>
      <w:r w:rsidRPr="00134C78">
        <w:t xml:space="preserve">3) Dicionário Ilustrada da Bíblia, Edições Vida Nova, São Paulo, </w:t>
      </w:r>
      <w:r w:rsidR="00085843" w:rsidRPr="00134C78">
        <w:t xml:space="preserve">1ª. edição, 2004, </w:t>
      </w:r>
      <w:r w:rsidRPr="00134C78">
        <w:t xml:space="preserve">verbete </w:t>
      </w:r>
      <w:r w:rsidR="00085843" w:rsidRPr="00134C78">
        <w:t>“</w:t>
      </w:r>
      <w:r w:rsidRPr="00134C78">
        <w:t>profecia</w:t>
      </w:r>
      <w:r w:rsidR="00085843" w:rsidRPr="00134C78">
        <w:t>”</w:t>
      </w:r>
      <w:r w:rsidRPr="00134C78">
        <w:t>.</w:t>
      </w:r>
    </w:p>
    <w:p w14:paraId="0E4A4C5E" w14:textId="3904CA82" w:rsidR="00134C78" w:rsidRPr="00134C78" w:rsidRDefault="00134C78" w:rsidP="00134C78">
      <w:pPr>
        <w:spacing w:after="0"/>
        <w:rPr>
          <w:sz w:val="20"/>
          <w:szCs w:val="20"/>
        </w:rPr>
      </w:pPr>
      <w:r w:rsidRPr="00134C78">
        <w:rPr>
          <w:sz w:val="20"/>
          <w:szCs w:val="20"/>
        </w:rPr>
        <w:t>4) FITREF – Faculdade Internacional de Teologia Reformada, disciplina BI 705</w:t>
      </w:r>
      <w:r w:rsidRPr="00134C78">
        <w:rPr>
          <w:i/>
          <w:sz w:val="20"/>
          <w:szCs w:val="20"/>
        </w:rPr>
        <w:t xml:space="preserve"> – Apocalipse e Escatologia Bíblica, </w:t>
      </w:r>
      <w:r w:rsidRPr="00134C78">
        <w:rPr>
          <w:sz w:val="20"/>
          <w:szCs w:val="20"/>
        </w:rPr>
        <w:t xml:space="preserve">aulas nº 17 e 19. </w:t>
      </w:r>
    </w:p>
    <w:p w14:paraId="78E9B897" w14:textId="1CF9D257" w:rsidR="00C775FA" w:rsidRPr="00134C78" w:rsidRDefault="00134C78" w:rsidP="00960483">
      <w:pPr>
        <w:pStyle w:val="Textodenotaderodap"/>
        <w:spacing w:line="259" w:lineRule="auto"/>
      </w:pPr>
      <w:r w:rsidRPr="00134C78">
        <w:t>5</w:t>
      </w:r>
      <w:r w:rsidR="00C775FA" w:rsidRPr="00134C78">
        <w:t xml:space="preserve">) </w:t>
      </w:r>
      <w:r w:rsidR="00812CC4" w:rsidRPr="00134C78">
        <w:t xml:space="preserve">Halley, H.H., </w:t>
      </w:r>
      <w:r w:rsidR="00812CC4" w:rsidRPr="00134C78">
        <w:rPr>
          <w:i/>
        </w:rPr>
        <w:t>Manual Bíblico</w:t>
      </w:r>
      <w:r w:rsidR="00812CC4" w:rsidRPr="00134C78">
        <w:t>, Edições Vida Nova, São Paulo, 2ª. edição,</w:t>
      </w:r>
      <w:r w:rsidR="00085843" w:rsidRPr="00134C78">
        <w:t xml:space="preserve"> 1971, </w:t>
      </w:r>
      <w:r w:rsidR="00C775FA" w:rsidRPr="00134C78">
        <w:t>p. 648</w:t>
      </w:r>
      <w:r w:rsidR="0016342A">
        <w:t>.</w:t>
      </w:r>
    </w:p>
    <w:p w14:paraId="58F0F728" w14:textId="5603E650" w:rsidR="004C5169" w:rsidRPr="00134C78" w:rsidRDefault="00134C78" w:rsidP="00960483">
      <w:pPr>
        <w:pStyle w:val="Textodenotaderodap"/>
        <w:spacing w:line="259" w:lineRule="auto"/>
        <w:rPr>
          <w:lang w:val="nl-NL"/>
        </w:rPr>
      </w:pPr>
      <w:r w:rsidRPr="00134C78">
        <w:rPr>
          <w:lang w:val="nl-NL"/>
        </w:rPr>
        <w:t>6</w:t>
      </w:r>
      <w:r w:rsidR="00C775FA" w:rsidRPr="00134C78">
        <w:rPr>
          <w:lang w:val="nl-NL"/>
        </w:rPr>
        <w:t xml:space="preserve">) </w:t>
      </w:r>
      <w:r w:rsidR="004C5169" w:rsidRPr="00134C78">
        <w:rPr>
          <w:lang w:val="nl-NL"/>
        </w:rPr>
        <w:t>J.H.</w:t>
      </w:r>
      <w:r w:rsidR="008432E1">
        <w:rPr>
          <w:lang w:val="nl-NL"/>
        </w:rPr>
        <w:t xml:space="preserve"> </w:t>
      </w:r>
      <w:r w:rsidR="004C5169" w:rsidRPr="00134C78">
        <w:rPr>
          <w:lang w:val="nl-NL"/>
        </w:rPr>
        <w:t xml:space="preserve">Bavinck, </w:t>
      </w:r>
      <w:r w:rsidR="004C5169" w:rsidRPr="00134C78">
        <w:rPr>
          <w:i/>
          <w:lang w:val="nl-NL"/>
        </w:rPr>
        <w:t>Geschiedenis der Godsopenbaring</w:t>
      </w:r>
      <w:r w:rsidR="008432E1">
        <w:rPr>
          <w:i/>
          <w:lang w:val="nl-NL"/>
        </w:rPr>
        <w:t xml:space="preserve">; </w:t>
      </w:r>
      <w:r w:rsidR="004C5169" w:rsidRPr="00134C78">
        <w:rPr>
          <w:i/>
          <w:lang w:val="nl-NL"/>
        </w:rPr>
        <w:t>Het Nieuwe Testament</w:t>
      </w:r>
      <w:r w:rsidR="004C5169" w:rsidRPr="00134C78">
        <w:rPr>
          <w:lang w:val="nl-NL"/>
        </w:rPr>
        <w:t xml:space="preserve">, editora J.H. Kok N.V., Kampen (Holanda), </w:t>
      </w:r>
      <w:r w:rsidR="00085843" w:rsidRPr="00134C78">
        <w:rPr>
          <w:lang w:val="nl-NL"/>
        </w:rPr>
        <w:t xml:space="preserve">2a. edição, 1949, </w:t>
      </w:r>
      <w:r w:rsidR="004C5169" w:rsidRPr="00134C78">
        <w:rPr>
          <w:lang w:val="nl-NL"/>
        </w:rPr>
        <w:t xml:space="preserve">p. 487-489. </w:t>
      </w:r>
    </w:p>
    <w:p w14:paraId="34C0C357" w14:textId="01EE3A76" w:rsidR="00CD174C" w:rsidRDefault="00134C78" w:rsidP="00960483">
      <w:pPr>
        <w:rPr>
          <w:sz w:val="20"/>
          <w:szCs w:val="20"/>
        </w:rPr>
      </w:pPr>
      <w:r w:rsidRPr="00134C78">
        <w:rPr>
          <w:sz w:val="20"/>
          <w:szCs w:val="20"/>
        </w:rPr>
        <w:t>7</w:t>
      </w:r>
      <w:r w:rsidR="00C775FA" w:rsidRPr="00134C78">
        <w:rPr>
          <w:sz w:val="20"/>
          <w:szCs w:val="20"/>
        </w:rPr>
        <w:t xml:space="preserve">) </w:t>
      </w:r>
      <w:r w:rsidR="00812CC4" w:rsidRPr="00134C78">
        <w:rPr>
          <w:sz w:val="20"/>
          <w:szCs w:val="20"/>
        </w:rPr>
        <w:t xml:space="preserve">Shedd, Russel, </w:t>
      </w:r>
      <w:r w:rsidR="00812CC4" w:rsidRPr="00134C78">
        <w:rPr>
          <w:i/>
          <w:sz w:val="20"/>
          <w:szCs w:val="20"/>
        </w:rPr>
        <w:t>A</w:t>
      </w:r>
      <w:r w:rsidR="00812CC4" w:rsidRPr="00134C78">
        <w:rPr>
          <w:sz w:val="20"/>
          <w:szCs w:val="20"/>
        </w:rPr>
        <w:t xml:space="preserve"> </w:t>
      </w:r>
      <w:r w:rsidR="00812CC4" w:rsidRPr="00134C78">
        <w:rPr>
          <w:i/>
          <w:sz w:val="20"/>
          <w:szCs w:val="20"/>
        </w:rPr>
        <w:t>Escatologia do Novo Testamento</w:t>
      </w:r>
      <w:r w:rsidR="00812CC4" w:rsidRPr="00134C78">
        <w:rPr>
          <w:sz w:val="20"/>
          <w:szCs w:val="20"/>
        </w:rPr>
        <w:t xml:space="preserve">, </w:t>
      </w:r>
      <w:r w:rsidR="00F80A3C">
        <w:rPr>
          <w:sz w:val="20"/>
          <w:szCs w:val="20"/>
        </w:rPr>
        <w:t>E</w:t>
      </w:r>
      <w:r w:rsidR="00812CC4" w:rsidRPr="00134C78">
        <w:rPr>
          <w:sz w:val="20"/>
          <w:szCs w:val="20"/>
        </w:rPr>
        <w:t xml:space="preserve">dições Vida Nova, São Paulo, 2ª. edição, reimpressão de 1999, p. 11-12, 20, 25 e 69. </w:t>
      </w:r>
    </w:p>
    <w:p w14:paraId="2B45601D" w14:textId="749F5B39" w:rsidR="008432E1" w:rsidRPr="00812CC4" w:rsidRDefault="008432E1" w:rsidP="00960483">
      <w:r>
        <w:t>Gerhard Jacobi</w:t>
      </w:r>
    </w:p>
    <w:sectPr w:rsidR="008432E1" w:rsidRPr="00812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7D29" w14:textId="77777777" w:rsidR="008C3803" w:rsidRDefault="008C3803" w:rsidP="002603E7">
      <w:pPr>
        <w:spacing w:after="0" w:line="240" w:lineRule="auto"/>
      </w:pPr>
      <w:r>
        <w:separator/>
      </w:r>
    </w:p>
  </w:endnote>
  <w:endnote w:type="continuationSeparator" w:id="0">
    <w:p w14:paraId="6D859DCA" w14:textId="77777777" w:rsidR="008C3803" w:rsidRDefault="008C3803" w:rsidP="0026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57C0" w14:textId="77777777" w:rsidR="008C3803" w:rsidRDefault="008C3803" w:rsidP="002603E7">
      <w:pPr>
        <w:spacing w:after="0" w:line="240" w:lineRule="auto"/>
      </w:pPr>
      <w:r>
        <w:separator/>
      </w:r>
    </w:p>
  </w:footnote>
  <w:footnote w:type="continuationSeparator" w:id="0">
    <w:p w14:paraId="02FFE8F2" w14:textId="77777777" w:rsidR="008C3803" w:rsidRDefault="008C3803" w:rsidP="0026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591"/>
    <w:multiLevelType w:val="multilevel"/>
    <w:tmpl w:val="F74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474FD"/>
    <w:multiLevelType w:val="hybridMultilevel"/>
    <w:tmpl w:val="7052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2D91"/>
    <w:multiLevelType w:val="multilevel"/>
    <w:tmpl w:val="B1B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609B2"/>
    <w:multiLevelType w:val="hybridMultilevel"/>
    <w:tmpl w:val="8B1E6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A5E3E"/>
    <w:multiLevelType w:val="multilevel"/>
    <w:tmpl w:val="53F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7E"/>
    <w:rsid w:val="0005640A"/>
    <w:rsid w:val="00076F10"/>
    <w:rsid w:val="00085843"/>
    <w:rsid w:val="00085FDC"/>
    <w:rsid w:val="00134C78"/>
    <w:rsid w:val="0016342A"/>
    <w:rsid w:val="001D508D"/>
    <w:rsid w:val="001E5D7A"/>
    <w:rsid w:val="00246506"/>
    <w:rsid w:val="002603E7"/>
    <w:rsid w:val="002707F6"/>
    <w:rsid w:val="0029073B"/>
    <w:rsid w:val="00297EC9"/>
    <w:rsid w:val="003000C9"/>
    <w:rsid w:val="00315251"/>
    <w:rsid w:val="0034363D"/>
    <w:rsid w:val="003F2555"/>
    <w:rsid w:val="00427266"/>
    <w:rsid w:val="004331DD"/>
    <w:rsid w:val="004C3E0B"/>
    <w:rsid w:val="004C5169"/>
    <w:rsid w:val="004E4873"/>
    <w:rsid w:val="004F4C49"/>
    <w:rsid w:val="005B06D2"/>
    <w:rsid w:val="005E23D3"/>
    <w:rsid w:val="00636A89"/>
    <w:rsid w:val="006708A9"/>
    <w:rsid w:val="00681DDF"/>
    <w:rsid w:val="00754D29"/>
    <w:rsid w:val="00803C04"/>
    <w:rsid w:val="00806EA5"/>
    <w:rsid w:val="00812CC4"/>
    <w:rsid w:val="008432E1"/>
    <w:rsid w:val="0088792B"/>
    <w:rsid w:val="008C3803"/>
    <w:rsid w:val="008F0915"/>
    <w:rsid w:val="00916941"/>
    <w:rsid w:val="00960483"/>
    <w:rsid w:val="00993981"/>
    <w:rsid w:val="009B2619"/>
    <w:rsid w:val="009E15DC"/>
    <w:rsid w:val="00A853C6"/>
    <w:rsid w:val="00B12EFF"/>
    <w:rsid w:val="00B25202"/>
    <w:rsid w:val="00B330F7"/>
    <w:rsid w:val="00B40309"/>
    <w:rsid w:val="00B41236"/>
    <w:rsid w:val="00B51298"/>
    <w:rsid w:val="00C11BAA"/>
    <w:rsid w:val="00C605CC"/>
    <w:rsid w:val="00C775FA"/>
    <w:rsid w:val="00CA6909"/>
    <w:rsid w:val="00CD174C"/>
    <w:rsid w:val="00CD68AF"/>
    <w:rsid w:val="00D1443F"/>
    <w:rsid w:val="00D22EB4"/>
    <w:rsid w:val="00DC1367"/>
    <w:rsid w:val="00E90DDC"/>
    <w:rsid w:val="00EC187E"/>
    <w:rsid w:val="00F23251"/>
    <w:rsid w:val="00F5058D"/>
    <w:rsid w:val="00F80A3C"/>
    <w:rsid w:val="00F94593"/>
    <w:rsid w:val="00FC498F"/>
    <w:rsid w:val="00FD2027"/>
    <w:rsid w:val="00FD2116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0A30"/>
  <w15:chartTrackingRefBased/>
  <w15:docId w15:val="{66720B7E-5690-4867-8D93-C86FDB40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1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1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2603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03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03E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B512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2">
    <w:name w:val="text2"/>
    <w:basedOn w:val="Normal"/>
    <w:rsid w:val="00B5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5129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5129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12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B51298"/>
    <w:rPr>
      <w:i/>
      <w:iCs/>
    </w:rPr>
  </w:style>
  <w:style w:type="paragraph" w:customStyle="1" w:styleId="amen-toolbar">
    <w:name w:val="amen-toolbar"/>
    <w:basedOn w:val="Normal"/>
    <w:rsid w:val="00B5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a-author">
    <w:name w:val="fa-author"/>
    <w:basedOn w:val="Fontepargpadro"/>
    <w:rsid w:val="00B51298"/>
  </w:style>
  <w:style w:type="character" w:customStyle="1" w:styleId="fa-publish-date">
    <w:name w:val="fa-publish-date"/>
    <w:basedOn w:val="Fontepargpadro"/>
    <w:rsid w:val="00B51298"/>
  </w:style>
  <w:style w:type="character" w:customStyle="1" w:styleId="publish-date">
    <w:name w:val="publish-date"/>
    <w:basedOn w:val="Fontepargpadro"/>
    <w:rsid w:val="00B51298"/>
  </w:style>
  <w:style w:type="character" w:styleId="MenoPendente">
    <w:name w:val="Unresolved Mention"/>
    <w:basedOn w:val="Fontepargpadro"/>
    <w:uiPriority w:val="99"/>
    <w:semiHidden/>
    <w:unhideWhenUsed/>
    <w:rsid w:val="00B51298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7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5FA"/>
  </w:style>
  <w:style w:type="paragraph" w:styleId="Rodap">
    <w:name w:val="footer"/>
    <w:basedOn w:val="Normal"/>
    <w:link w:val="RodapChar"/>
    <w:uiPriority w:val="99"/>
    <w:unhideWhenUsed/>
    <w:rsid w:val="00C7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5FA"/>
  </w:style>
  <w:style w:type="paragraph" w:styleId="PargrafodaLista">
    <w:name w:val="List Paragraph"/>
    <w:basedOn w:val="Normal"/>
    <w:uiPriority w:val="34"/>
    <w:qFormat/>
    <w:rsid w:val="0081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4859">
          <w:marLeft w:val="0"/>
          <w:marRight w:val="0"/>
          <w:marTop w:val="72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7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4B9B-EB79-4DC3-B501-B8ED8B3B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6</cp:revision>
  <dcterms:created xsi:type="dcterms:W3CDTF">2017-12-07T18:01:00Z</dcterms:created>
  <dcterms:modified xsi:type="dcterms:W3CDTF">2017-12-13T00:47:00Z</dcterms:modified>
</cp:coreProperties>
</file>